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rbel" w:cs="Corbel" w:eastAsia="Corbel" w:hAnsi="Corbel"/>
          <w:color w:val="032d3e"/>
          <w:sz w:val="30"/>
          <w:szCs w:val="30"/>
        </w:rPr>
      </w:pPr>
      <w:r w:rsidDel="00000000" w:rsidR="00000000" w:rsidRPr="00000000">
        <w:rPr>
          <w:rFonts w:ascii="Corbel" w:cs="Corbel" w:eastAsia="Corbel" w:hAnsi="Corbel"/>
          <w:color w:val="032d3e"/>
          <w:sz w:val="30"/>
          <w:szCs w:val="30"/>
          <w:rtl w:val="0"/>
        </w:rPr>
        <w:t xml:space="preserve">Anusha 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SAP S4 Lead Consultant - FICO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Mobile: +1 515-415-8383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Email: anusha.velidi@gmail.com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Total Experience 12+ years of experience, which includes 10 years in SAP ERP ECC R3 &amp; S/4 HANA as a finance lead 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Certified in SAP ECC &amp; S/4 Hana &amp; IVALUA e-procurement (S2P)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two Full Life Cycle in SAP ECC R3 &amp; S/4 Hana also have Rollouts, up-gradation &amp; AMS support projects. (Green &amp; Brownfield/conversation S/4 Hana projects).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Owned and developed RICEFW objects from designing to writing custom and technical specifications, testing to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Implementing Ariba/Ivalua e-Invoice cloud application for Supply Chain Functionality (SaaS application).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Have Good Experience in Dolphin -Serrala (Kofax OCR) &amp; OpenText VIM AP workflow process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implementing and managing SAP solutions in public/private cloud environments with cloud AM best practices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SAP AMS and Change management/Build &amp; design activities for new changes in SAP ECC/S/4 Hana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Integrate the RPA- Robotic Process into the SAP Workflow/Business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Customization of SAP-Organizational Entities, Customizing Business Process requirements and implementation of FI integration with MM (P2P), SD(O2C), and 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understanding of SAP S/4 HANA functionality and configuration, best practices, and agile ACTIVE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Order-To-Cash (OTC), Procure-To-Pay (PTP), Plan-To Produce, master data management (MDM) and Record-To-Report (RTR).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intigration experience with retail system (SAP CAR)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on the Tax engine (Vertex/LCR Dixon/Sabrix).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color w:val="032d3e"/>
          <w:rtl w:val="0"/>
        </w:rPr>
        <w:t xml:space="preserve">Good Experience in SAP FSCM &amp; Treasury</w:t>
      </w:r>
      <w:r w:rsidDel="00000000" w:rsidR="00000000" w:rsidRPr="00000000">
        <w:rPr>
          <w:b w:val="1"/>
          <w:color w:val="032d3e"/>
          <w:rtl w:val="0"/>
        </w:rPr>
        <w:t xml:space="preserve"> </w:t>
      </w:r>
      <w:r w:rsidDel="00000000" w:rsidR="00000000" w:rsidRPr="00000000">
        <w:rPr>
          <w:color w:val="032d3e"/>
          <w:rtl w:val="0"/>
        </w:rPr>
        <w:t xml:space="preserve">Payment and Bank communication (BCM), Cash and Liquidity Management, Credit &amp; Risk Management</w:t>
      </w:r>
      <w:r w:rsidDel="00000000" w:rsidR="00000000" w:rsidRPr="00000000">
        <w:rPr>
          <w:b w:val="1"/>
          <w:color w:val="032d3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Configuration the preparation of consolidated financial statements for each entity’s group reporting, ensuring compliance with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integration with 3rd party applications like Ariba, IVALUA, Serrala Dolphin, AS400, EDI 880,812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Intercompany and Intra-company scenarios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Multi Bank connectivity (MBC) integration with Bank for payment/statement.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with FSCM, SAP Banking, DME structure, electronic bank statement (EBS) and Lockbox.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on FSCM Module BCM, Cash, &amp; Rish, Disputes and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knowledge of and experience with Solution Manager, especially with ChaRM and the Change and Release Management module within Focused Build (Cloud ALM &amp; Active control).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Controlling (Cost Element Accounting, Cost Center Accounting, Internal Order Accounting, and profit center accounting, COPA &amp; product costing).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Data Migration strategies and execution. Extensive experience in working on development requirements like reports, interfaces, conversions, enhancements, forms, and workflows. Outbound and Inbound IDOC/EDI, BAPIs and RFC communications.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integration with Trintech for GL postings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 new training simulations with Adobe captivate for new region SAP implantation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Migration, Highradius, FSCM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ABB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ab/>
        <w:t xml:space="preserve">         Jan 2022 to March 2024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Migration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FSCM, EDL, ABAP, Jira, Active Control, Treasury, Group Reporting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Honeywell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Dec 2019 to Dec 2021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S4 Hana Ariba/Ivalua Implementation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FI, VIM, Dolphin, Tax/Vertex,Solution manager (Charm)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b050"/>
          <w:rtl w:val="0"/>
        </w:rPr>
        <w:t xml:space="preserve">Strides Shasun LTD, 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Sep 2017 to Nov 2019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ECC Rollouts and AMS Support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SD, PP, QM, WinShuttle, ABAP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70c0"/>
          <w:rtl w:val="0"/>
        </w:rPr>
        <w:t xml:space="preserve">Atos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               Nov 2014 to Aug 2017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AMS Support &amp; Rollout SAP ECC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FA, FSCM, SWIFT, PI, MBC, BCM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ed7d31"/>
          <w:rtl w:val="0"/>
        </w:rPr>
        <w:t xml:space="preserve">ING Vysya bank (Kotak Bank) </w:t>
      </w:r>
      <w:r w:rsidDel="00000000" w:rsidR="00000000" w:rsidRPr="00000000">
        <w:rPr>
          <w:b w:val="1"/>
          <w:color w:val="032d3e"/>
          <w:rtl w:val="0"/>
        </w:rPr>
        <w:tab/>
        <w:tab/>
        <w:t xml:space="preserve">                                                      Sep 2011 to Oct2014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Domine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Finance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Corteva, Inc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Conversion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Lead Consultant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Perform the Migration steps for Asset accounting and FSCM-Credit management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Extensive experience in AMS production support and managing enhancements through the change request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Helping with the daily operations of the general ledger, ensuring accuracy and compliance with accounting principles.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Helping the business on the month-end close process, reducing reporting timelines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intercompany service billing processes within SAP, including pricing conditions and billing document creation to streamline invoicing between company codes.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Established stock transport order (STO) processes for intercompany goods, enhancing inventory management and minimizing stock discrepancies.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Worked closely with procurement and logistics teams to ensure seamless integration of intercompany services and goods into overall business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Managed posting periods in SAP to ensure timely and accurate financial reporting, optimizing the month-end closing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intercompany reconciliations, resolving discrepancies and ensuring accurate reporting between multiple entities.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Oversaw foreign currency valuation processes, ensuring compliance with accounting standards and accurate reflection of currency fluctuations in financial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daily treasury cash operations to guarantee optimal liquidity and effective cash flow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ABB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ABB (S/4 Hana Public Cloud Implementation &amp; Support)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Lead Consultant (SAP FICO, FSCM)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Implement SAP Public Cloud HANA 2022 in the best practice GDM method.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workshops to gather business requirements for each workstream and prepared the solution document (BPD), attaching it to Cloud ALM as a best practice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Integrate with cross-functional teams to assess and mitigate Treasury financial risks, enhancing overall organizational resilience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Processed journal entries (FI-GL) and managed accounts payable/receivable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Developed (FI-GL) financial reports for departmental heads, highlighting key performance indicators.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2d3e"/>
          <w:sz w:val="22"/>
          <w:szCs w:val="22"/>
          <w:u w:val="none"/>
          <w:shd w:fill="auto" w:val="clear"/>
          <w:vertAlign w:val="baseline"/>
          <w:rtl w:val="0"/>
        </w:rPr>
        <w:t xml:space="preserve">Managed intercompany reconciliations and resolved discrepancies, improving accuracy in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new SAP S4 Hana FSCM New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Automated supplier invoices with Kofax tools to streamline invoice and payment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RFC connections for new systems to transmit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Dolphin Smart Eye AP workflow process (VIM).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Mapped new business processes via change requests with the Active Control transport engine.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on ABAP objects like proxies, IDOC, and ODATA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Coordinated among Global Process Owners, Local/Regional Process Owners, and other Shared Service Centers for various intercompany-related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intercompany goods and services transactions across multiple company codes, ensuring compliance with transfer pricing regulations and accurate accounting.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SAP AP and Vertex in the S/4 Hana system and integrated it with other SAP instances or non-SAP systems (BRF+ (BODS- SQL, DB2, Oracle), Ariba, High Radius).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Enabled intercompany invoices for STO/service billing processes in Accounts Payable and Accounts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the ABAP team on functional design specifications (FSD), including data mapping for FI integrations, enhancements,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financial accounting processes, including accounts payable, OpenText (VIM), accounts receivable, general ledger accounting, and controlling.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Identified RICEF objects and wrote the Functional Specifications (FS) for each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Had good experience with SAP Banking and Multi-bank Connectivity (MBC).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Enabled Cash and Bank Account Management in S/4HANA.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payment types and generated files for Multi-bank Connectivity.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Handled EDI/interface invoice posting from third-party tools (AS400/Mainframe/OpenText,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and mapped new requirements in Vertex for Global Tax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Electronic Bank Statement (EBS) processing and created search strings where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Honeywell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S/4 HANA Private cloud, Ariba &amp; Ivalua cloud Implementation (Brownfield)</w:t>
      </w:r>
    </w:p>
    <w:p w:rsidR="00000000" w:rsidDel="00000000" w:rsidP="00000000" w:rsidRDefault="00000000" w:rsidRPr="00000000" w14:paraId="00000068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Lead Consultant—SAP Finance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interfaces to send invoice status, Schedule Payment Date (SPD), and payment remittance to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custom tables for e-invoice rules across regions to enable the e-invoice indicator in the Vendor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Developed the IDOC process to create e-invoices from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Followed tax compliance for each country in the e-invoice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Controlled the tax discrepancy between Purchase Orders (PO) and invoice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integrated SAP with BW/Tableau for consolidated </w:t>
      </w:r>
      <w:r w:rsidDel="00000000" w:rsidR="00000000" w:rsidRPr="00000000">
        <w:rPr>
          <w:b w:val="1"/>
          <w:color w:val="032d3e"/>
          <w:rtl w:val="0"/>
        </w:rPr>
        <w:t xml:space="preserve">group reporting</w:t>
      </w:r>
      <w:r w:rsidDel="00000000" w:rsidR="00000000" w:rsidRPr="00000000">
        <w:rPr>
          <w:color w:val="032d3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Fully integrated end-to-end processes, automating the triggering of subsequent activities to achieve the First Pass Yield KPI in accounts 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the Ariba SCC portal in North America, EMEA, and APAC regions.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Intercompany and Non-PO processes with Dolphin in the SAP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Ensured global tax compliance using tax tools (Vertex) for each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Activated account-based COPA and supported product costing.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Provided consulting services on both new implementations and existing support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third-party integrations, such as Dolphin-Serrala and OpenText OCR Kofex.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Collaborated with other teams to ensure the successful implementation and maintenance of the SAP S/4 HANA FICO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Possessed rich experience in sourcing-to-pay (S2C) activities and sound knowledge of e-Invoice tools like Ivalua.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Onboarded suppliers for the e-invoice process (PO flip/cXML Inv).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Strides Pharma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Strides Pharma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Rollouts and AMS Production Support</w:t>
      </w:r>
    </w:p>
    <w:p w:rsidR="00000000" w:rsidDel="00000000" w:rsidP="00000000" w:rsidRDefault="00000000" w:rsidRPr="00000000" w14:paraId="0000007D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Functional Consultant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Was responsible for collecting data from the Corporate Finance department and interacted with them to understand the business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the SAP system as per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CO – General Controlling, Cost and Revenue Element Accounting, Cost Center Accounting, Internal Orders, COPA, Product Costing, and Material Ledger.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fixed asset migration for new company codes into SAP ECC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Atos India Pvt Ltd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Atos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 &amp; AMS Production Support Project 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Consultant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Resolved issues assigned to the team through the ServiceNow Tool with time-bound SLAs.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Prepared functional specifications and provided necessary inputs to the ABAP Development team to prepare technical specifications, Implement Fixed asset module for USA/Canada entities.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Understood the complexities of client requirements and detailed the approved features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 BCM module for Bank payments rollouts and asset migrations globally.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1440" w:top="720" w:left="1440" w:right="1440" w:header="432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bfbfbf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posOffset>171450</wp:posOffset>
          </wp:positionV>
          <wp:extent cx="7759424" cy="13455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424" cy="1345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86150" cy="800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17213" y="3394238"/>
                        <a:ext cx="34575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CONSULTANT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Role/Title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86150" cy="800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615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49ed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